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18638D">
        <w:rPr>
          <w:rFonts w:ascii="Arial" w:hAnsi="Arial" w:cs="Arial"/>
          <w:b/>
        </w:rPr>
        <w:t>0</w:t>
      </w:r>
      <w:r w:rsidR="0099158D">
        <w:rPr>
          <w:rFonts w:ascii="Arial" w:hAnsi="Arial" w:cs="Arial"/>
          <w:b/>
        </w:rPr>
        <w:t>9</w:t>
      </w:r>
      <w:r w:rsidR="00DD2B90">
        <w:rPr>
          <w:rFonts w:ascii="Arial" w:hAnsi="Arial" w:cs="Arial"/>
          <w:b/>
        </w:rPr>
        <w:t>/1</w:t>
      </w:r>
      <w:r w:rsidR="0099158D">
        <w:rPr>
          <w:rFonts w:ascii="Arial" w:hAnsi="Arial" w:cs="Arial"/>
          <w:b/>
        </w:rPr>
        <w:t>0</w:t>
      </w:r>
      <w:r w:rsidR="00DD2B90">
        <w:rPr>
          <w:rFonts w:ascii="Arial" w:hAnsi="Arial" w:cs="Arial"/>
          <w:b/>
        </w:rPr>
        <w:t>/1</w:t>
      </w:r>
      <w:r w:rsidR="00BB0874">
        <w:rPr>
          <w:rFonts w:ascii="Arial" w:hAnsi="Arial" w:cs="Arial"/>
          <w:b/>
        </w:rPr>
        <w:t>2</w:t>
      </w:r>
      <w:r w:rsidR="00DD2B90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99158D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r w:rsidR="00BB0874">
        <w:rPr>
          <w:rFonts w:ascii="Arial" w:hAnsi="Arial" w:cs="Arial"/>
          <w:b/>
        </w:rPr>
        <w:t>Stables Patio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  <w:r w:rsidR="0018638D">
        <w:rPr>
          <w:rFonts w:ascii="Arial" w:hAnsi="Arial" w:cs="Arial"/>
          <w:b/>
        </w:rPr>
        <w:t xml:space="preserve"> (per Linda Miller’s Notes)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DC3D50" w:rsidRDefault="00DC3D50" w:rsidP="00DC3D50">
      <w:pPr>
        <w:spacing w:after="0"/>
        <w:rPr>
          <w:rFonts w:ascii="Arial" w:hAnsi="Arial" w:cs="Arial"/>
          <w:b/>
        </w:rPr>
      </w:pPr>
    </w:p>
    <w:p w:rsidR="0099158D" w:rsidRPr="0099158D" w:rsidRDefault="0099158D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99158D">
        <w:rPr>
          <w:rFonts w:ascii="Arial" w:hAnsi="Arial" w:cs="Arial"/>
          <w:b/>
        </w:rPr>
        <w:t>Changes to BRM Schedule (LGM)</w:t>
      </w:r>
      <w:r>
        <w:rPr>
          <w:rFonts w:ascii="Arial" w:hAnsi="Arial" w:cs="Arial"/>
        </w:rPr>
        <w:t xml:space="preserve"> – Early Alerts not going to be utilized by the retention staff, so we are tweaking the schedule to refine the focus of those engagements.</w:t>
      </w:r>
    </w:p>
    <w:p w:rsidR="0099158D" w:rsidRDefault="0099158D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Upgrade BRM to 1.6</w:t>
      </w:r>
    </w:p>
    <w:p w:rsidR="0099158D" w:rsidRDefault="0099158D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new CRM is Lori </w:t>
      </w:r>
      <w:proofErr w:type="spellStart"/>
      <w:r>
        <w:rPr>
          <w:rFonts w:ascii="Arial" w:hAnsi="Arial" w:cs="Arial"/>
          <w:b/>
        </w:rPr>
        <w:t>Mauth</w:t>
      </w:r>
      <w:r w:rsidR="00AC04D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y</w:t>
      </w:r>
      <w:proofErr w:type="spellEnd"/>
      <w:r>
        <w:rPr>
          <w:rFonts w:ascii="Arial" w:hAnsi="Arial" w:cs="Arial"/>
          <w:b/>
        </w:rPr>
        <w:t>.  Farewell to Sally.</w:t>
      </w:r>
    </w:p>
    <w:p w:rsidR="0099158D" w:rsidRPr="000E5B06" w:rsidRDefault="0099158D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On-Demand Subscription Library</w:t>
      </w:r>
      <w:r>
        <w:rPr>
          <w:rFonts w:ascii="Arial" w:hAnsi="Arial" w:cs="Arial"/>
        </w:rPr>
        <w:t xml:space="preserve"> – Is </w:t>
      </w:r>
      <w:r w:rsidR="00AC04DC">
        <w:rPr>
          <w:rFonts w:ascii="Arial" w:hAnsi="Arial" w:cs="Arial"/>
        </w:rPr>
        <w:t>a pos</w:t>
      </w:r>
      <w:r>
        <w:rPr>
          <w:rFonts w:ascii="Arial" w:hAnsi="Arial" w:cs="Arial"/>
        </w:rPr>
        <w:t>si</w:t>
      </w:r>
      <w:r w:rsidR="00AC04DC">
        <w:rPr>
          <w:rFonts w:ascii="Arial" w:hAnsi="Arial" w:cs="Arial"/>
        </w:rPr>
        <w:t>b</w:t>
      </w:r>
      <w:r>
        <w:rPr>
          <w:rFonts w:ascii="Arial" w:hAnsi="Arial" w:cs="Arial"/>
        </w:rPr>
        <w:t>ili</w:t>
      </w:r>
      <w:r w:rsidR="00AC04DC">
        <w:rPr>
          <w:rFonts w:ascii="Arial" w:hAnsi="Arial" w:cs="Arial"/>
        </w:rPr>
        <w:t>t</w:t>
      </w:r>
      <w:r>
        <w:rPr>
          <w:rFonts w:ascii="Arial" w:hAnsi="Arial" w:cs="Arial"/>
        </w:rPr>
        <w:t>y for ongoing training and document review.</w:t>
      </w:r>
    </w:p>
    <w:p w:rsidR="000E5B06" w:rsidRPr="0099158D" w:rsidRDefault="000E5B06" w:rsidP="000E5B06">
      <w:pPr>
        <w:pStyle w:val="ListParagraph"/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87"/>
        <w:gridCol w:w="2935"/>
        <w:gridCol w:w="2934"/>
      </w:tblGrid>
      <w:tr w:rsidR="0099158D" w:rsidTr="000E5B06">
        <w:tc>
          <w:tcPr>
            <w:tcW w:w="2987" w:type="dxa"/>
          </w:tcPr>
          <w:p w:rsidR="0099158D" w:rsidRPr="0099158D" w:rsidRDefault="0099158D" w:rsidP="0099158D">
            <w:pPr>
              <w:pStyle w:val="ListParagraph"/>
              <w:ind w:left="0"/>
              <w:rPr>
                <w:rFonts w:ascii="Arial" w:hAnsi="Arial" w:cs="Arial"/>
              </w:rPr>
            </w:pPr>
            <w:r w:rsidRPr="0099158D">
              <w:rPr>
                <w:rFonts w:ascii="Arial" w:hAnsi="Arial" w:cs="Arial"/>
              </w:rPr>
              <w:t>Module</w:t>
            </w:r>
          </w:p>
        </w:tc>
        <w:tc>
          <w:tcPr>
            <w:tcW w:w="2935" w:type="dxa"/>
          </w:tcPr>
          <w:p w:rsidR="0099158D" w:rsidRPr="0099158D" w:rsidRDefault="0099158D" w:rsidP="0099158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9158D">
              <w:rPr>
                <w:rFonts w:ascii="Arial" w:hAnsi="Arial" w:cs="Arial"/>
              </w:rPr>
              <w:t>Individual</w:t>
            </w:r>
          </w:p>
        </w:tc>
        <w:tc>
          <w:tcPr>
            <w:tcW w:w="2934" w:type="dxa"/>
          </w:tcPr>
          <w:p w:rsidR="0099158D" w:rsidRPr="0099158D" w:rsidRDefault="0099158D" w:rsidP="0099158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9158D">
              <w:rPr>
                <w:rFonts w:ascii="Arial" w:hAnsi="Arial" w:cs="Arial"/>
              </w:rPr>
              <w:t>Unlimited Users</w:t>
            </w:r>
          </w:p>
        </w:tc>
      </w:tr>
      <w:tr w:rsidR="0099158D" w:rsidTr="000E5B06">
        <w:tc>
          <w:tcPr>
            <w:tcW w:w="2987" w:type="dxa"/>
          </w:tcPr>
          <w:p w:rsidR="0099158D" w:rsidRPr="0099158D" w:rsidRDefault="0099158D" w:rsidP="009915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 Advancement</w:t>
            </w:r>
          </w:p>
        </w:tc>
        <w:tc>
          <w:tcPr>
            <w:tcW w:w="2935" w:type="dxa"/>
          </w:tcPr>
          <w:p w:rsidR="0099158D" w:rsidRPr="0099158D" w:rsidRDefault="0099158D" w:rsidP="0099158D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$935</w:t>
            </w:r>
          </w:p>
        </w:tc>
        <w:tc>
          <w:tcPr>
            <w:tcW w:w="2934" w:type="dxa"/>
          </w:tcPr>
          <w:p w:rsidR="0099158D" w:rsidRPr="0099158D" w:rsidRDefault="0099158D" w:rsidP="0099158D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$8,250</w:t>
            </w:r>
          </w:p>
        </w:tc>
      </w:tr>
      <w:tr w:rsidR="000E5B06" w:rsidTr="000E5B06">
        <w:tc>
          <w:tcPr>
            <w:tcW w:w="2987" w:type="dxa"/>
          </w:tcPr>
          <w:p w:rsidR="000E5B06" w:rsidRPr="0099158D" w:rsidRDefault="000E5B06" w:rsidP="009915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 Human Resources</w:t>
            </w:r>
          </w:p>
        </w:tc>
        <w:tc>
          <w:tcPr>
            <w:tcW w:w="2935" w:type="dxa"/>
          </w:tcPr>
          <w:p w:rsidR="000E5B06" w:rsidRPr="0099158D" w:rsidRDefault="000E5B06" w:rsidP="005A4B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$935</w:t>
            </w:r>
          </w:p>
        </w:tc>
        <w:tc>
          <w:tcPr>
            <w:tcW w:w="2934" w:type="dxa"/>
          </w:tcPr>
          <w:p w:rsidR="000E5B06" w:rsidRPr="0099158D" w:rsidRDefault="000E5B06" w:rsidP="005A4B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$8,250</w:t>
            </w:r>
          </w:p>
        </w:tc>
      </w:tr>
      <w:tr w:rsidR="000E5B06" w:rsidTr="000E5B06">
        <w:tc>
          <w:tcPr>
            <w:tcW w:w="2987" w:type="dxa"/>
          </w:tcPr>
          <w:p w:rsidR="000E5B06" w:rsidRPr="0099158D" w:rsidRDefault="000E5B06" w:rsidP="009915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 Finance</w:t>
            </w:r>
          </w:p>
        </w:tc>
        <w:tc>
          <w:tcPr>
            <w:tcW w:w="2935" w:type="dxa"/>
          </w:tcPr>
          <w:p w:rsidR="000E5B06" w:rsidRPr="0099158D" w:rsidRDefault="000E5B06" w:rsidP="005A4B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$935</w:t>
            </w:r>
          </w:p>
        </w:tc>
        <w:tc>
          <w:tcPr>
            <w:tcW w:w="2934" w:type="dxa"/>
          </w:tcPr>
          <w:p w:rsidR="000E5B06" w:rsidRPr="0099158D" w:rsidRDefault="000E5B06" w:rsidP="005A4B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$8,250</w:t>
            </w:r>
          </w:p>
        </w:tc>
      </w:tr>
      <w:tr w:rsidR="000E5B06" w:rsidTr="000E5B06">
        <w:tc>
          <w:tcPr>
            <w:tcW w:w="2987" w:type="dxa"/>
          </w:tcPr>
          <w:p w:rsidR="000E5B06" w:rsidRPr="0099158D" w:rsidRDefault="000E5B06" w:rsidP="009915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 Financial Aid</w:t>
            </w:r>
          </w:p>
        </w:tc>
        <w:tc>
          <w:tcPr>
            <w:tcW w:w="2935" w:type="dxa"/>
          </w:tcPr>
          <w:p w:rsidR="000E5B06" w:rsidRPr="0099158D" w:rsidRDefault="000E5B06" w:rsidP="005A4B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$935</w:t>
            </w:r>
          </w:p>
        </w:tc>
        <w:tc>
          <w:tcPr>
            <w:tcW w:w="2934" w:type="dxa"/>
          </w:tcPr>
          <w:p w:rsidR="000E5B06" w:rsidRPr="0099158D" w:rsidRDefault="000E5B06" w:rsidP="005A4BC2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$8,250</w:t>
            </w:r>
          </w:p>
        </w:tc>
      </w:tr>
      <w:tr w:rsidR="000E5B06" w:rsidTr="000E5B06">
        <w:tc>
          <w:tcPr>
            <w:tcW w:w="2987" w:type="dxa"/>
          </w:tcPr>
          <w:p w:rsidR="000E5B06" w:rsidRPr="0099158D" w:rsidRDefault="000E5B06" w:rsidP="0099158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Banner Student</w:t>
            </w:r>
          </w:p>
        </w:tc>
        <w:tc>
          <w:tcPr>
            <w:tcW w:w="2935" w:type="dxa"/>
          </w:tcPr>
          <w:p w:rsidR="000E5B06" w:rsidRPr="0099158D" w:rsidRDefault="000E5B06" w:rsidP="0099158D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$1,100</w:t>
            </w:r>
          </w:p>
        </w:tc>
        <w:tc>
          <w:tcPr>
            <w:tcW w:w="2934" w:type="dxa"/>
          </w:tcPr>
          <w:p w:rsidR="000E5B06" w:rsidRPr="0099158D" w:rsidRDefault="000E5B06" w:rsidP="0099158D">
            <w:pPr>
              <w:pStyle w:val="ListParagraph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$9,000</w:t>
            </w:r>
          </w:p>
        </w:tc>
      </w:tr>
    </w:tbl>
    <w:p w:rsidR="0099158D" w:rsidRDefault="0099158D" w:rsidP="0099158D">
      <w:pPr>
        <w:pStyle w:val="ListParagraph"/>
        <w:spacing w:after="0"/>
        <w:rPr>
          <w:rFonts w:ascii="Arial" w:hAnsi="Arial" w:cs="Arial"/>
          <w:b/>
        </w:rPr>
      </w:pPr>
    </w:p>
    <w:p w:rsidR="0099158D" w:rsidRPr="000E5B06" w:rsidRDefault="000E5B06" w:rsidP="0099158D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Available to review for two weeks to see if might be useful; can two-week window be per module</w:t>
      </w:r>
      <w:proofErr w:type="gramStart"/>
      <w:r>
        <w:rPr>
          <w:rFonts w:ascii="Arial" w:hAnsi="Arial" w:cs="Arial"/>
        </w:rPr>
        <w:t>?;</w:t>
      </w:r>
      <w:proofErr w:type="gramEnd"/>
      <w:r>
        <w:rPr>
          <w:rFonts w:ascii="Arial" w:hAnsi="Arial" w:cs="Arial"/>
        </w:rPr>
        <w:t xml:space="preserve"> for annual cost?; versions?; unlimited users?; IS needs to test to make sure we can avoid having them create a new user; BDT will test by tomorrow afternoon.</w:t>
      </w:r>
    </w:p>
    <w:p w:rsidR="0099158D" w:rsidRPr="0099158D" w:rsidRDefault="0099158D" w:rsidP="0099158D">
      <w:pPr>
        <w:pStyle w:val="ListParagraph"/>
        <w:spacing w:after="0"/>
        <w:rPr>
          <w:rFonts w:ascii="Arial" w:hAnsi="Arial" w:cs="Arial"/>
          <w:b/>
        </w:rPr>
      </w:pPr>
    </w:p>
    <w:p w:rsidR="0018638D" w:rsidRPr="000E5B06" w:rsidRDefault="000E5B06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0E5B06">
        <w:rPr>
          <w:rFonts w:ascii="Arial" w:hAnsi="Arial" w:cs="Arial"/>
          <w:b/>
        </w:rPr>
        <w:t>KHEAA Access to Banner Screen</w:t>
      </w:r>
      <w:r w:rsidR="00AC04DC">
        <w:rPr>
          <w:rFonts w:ascii="Arial" w:hAnsi="Arial" w:cs="Arial"/>
          <w:b/>
        </w:rPr>
        <w:t>s</w:t>
      </w:r>
      <w:r w:rsidRPr="000E5B06">
        <w:rPr>
          <w:rFonts w:ascii="Arial" w:hAnsi="Arial" w:cs="Arial"/>
          <w:b/>
        </w:rPr>
        <w:t xml:space="preserve"> (LD)</w:t>
      </w:r>
      <w:r w:rsidR="0018638D" w:rsidRPr="000E5B06">
        <w:rPr>
          <w:rFonts w:ascii="Arial" w:hAnsi="Arial" w:cs="Arial"/>
        </w:rPr>
        <w:t xml:space="preserve"> </w:t>
      </w:r>
    </w:p>
    <w:p w:rsidR="0018638D" w:rsidRPr="008959DD" w:rsidRDefault="0018638D" w:rsidP="0018638D">
      <w:pPr>
        <w:pStyle w:val="ListParagraph"/>
        <w:spacing w:after="0"/>
        <w:rPr>
          <w:rFonts w:ascii="Arial" w:hAnsi="Arial" w:cs="Arial"/>
          <w:b/>
        </w:rPr>
      </w:pPr>
    </w:p>
    <w:p w:rsidR="0095340E" w:rsidRDefault="0095340E" w:rsidP="00C8554B">
      <w:pPr>
        <w:spacing w:after="0"/>
        <w:rPr>
          <w:rFonts w:ascii="Arial" w:hAnsi="Arial" w:cs="Arial"/>
        </w:rPr>
      </w:pPr>
    </w:p>
    <w:p w:rsidR="0095340E" w:rsidRDefault="008959DD" w:rsidP="00C855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Updates</w:t>
      </w:r>
      <w:r w:rsidR="00C8554B">
        <w:rPr>
          <w:rFonts w:ascii="Arial" w:hAnsi="Arial" w:cs="Arial"/>
          <w:b/>
        </w:rPr>
        <w:t>:</w:t>
      </w:r>
    </w:p>
    <w:p w:rsidR="00C8554B" w:rsidRDefault="00C8554B" w:rsidP="00C8554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0E5B06" w:rsidRDefault="000E5B06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E5B06">
        <w:rPr>
          <w:rFonts w:ascii="Arial" w:hAnsi="Arial" w:cs="Arial"/>
          <w:b/>
        </w:rPr>
        <w:t>October Collection Process (BDT)</w:t>
      </w:r>
      <w:r>
        <w:rPr>
          <w:rFonts w:ascii="Arial" w:hAnsi="Arial" w:cs="Arial"/>
        </w:rPr>
        <w:t xml:space="preserve"> – Registration block; in test by 10/15; get master list to Fred; Per Tracy there are placeholders; we’ll have to work with IT to find them.  BDT shared it would be hard to find; Tracy will get an updated list of questions out to LGM and she will send out to everyone then </w:t>
      </w:r>
      <w:r w:rsidR="00AC04DC">
        <w:rPr>
          <w:rFonts w:ascii="Arial" w:hAnsi="Arial" w:cs="Arial"/>
        </w:rPr>
        <w:t>select a subgroup to discuss n</w:t>
      </w:r>
      <w:r>
        <w:rPr>
          <w:rFonts w:ascii="Arial" w:hAnsi="Arial" w:cs="Arial"/>
        </w:rPr>
        <w:t>uances of language.</w:t>
      </w:r>
    </w:p>
    <w:p w:rsidR="000E5B06" w:rsidRPr="000E5B06" w:rsidRDefault="000E5B06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BRM (FD)</w:t>
      </w:r>
      <w:r>
        <w:rPr>
          <w:rFonts w:ascii="Arial" w:hAnsi="Arial" w:cs="Arial"/>
        </w:rPr>
        <w:t xml:space="preserve"> – Soft </w:t>
      </w:r>
      <w:proofErr w:type="spellStart"/>
      <w:r>
        <w:rPr>
          <w:rFonts w:ascii="Arial" w:hAnsi="Arial" w:cs="Arial"/>
        </w:rPr>
        <w:t>GoLive</w:t>
      </w:r>
      <w:proofErr w:type="spellEnd"/>
      <w:r>
        <w:rPr>
          <w:rFonts w:ascii="Arial" w:hAnsi="Arial" w:cs="Arial"/>
        </w:rPr>
        <w:t xml:space="preserve"> set for July 1, 2013 with </w:t>
      </w:r>
      <w:proofErr w:type="spellStart"/>
      <w:r>
        <w:rPr>
          <w:rFonts w:ascii="Arial" w:hAnsi="Arial" w:cs="Arial"/>
        </w:rPr>
        <w:t>GoLive</w:t>
      </w:r>
      <w:proofErr w:type="spellEnd"/>
      <w:r>
        <w:rPr>
          <w:rFonts w:ascii="Arial" w:hAnsi="Arial" w:cs="Arial"/>
        </w:rPr>
        <w:t xml:space="preserve"> set for August 1, 2013.</w:t>
      </w:r>
      <w:r w:rsidR="00AC04DC">
        <w:rPr>
          <w:rFonts w:ascii="Arial" w:hAnsi="Arial" w:cs="Arial"/>
        </w:rPr>
        <w:t xml:space="preserve">  Per Fred as we go into BRM they will be loading names into the system.  Team members:  Stacy, Fred, Teresa, Rachel (for test score loads), Stacy and/or Lisa, Shawn Cooper, Michele, and Gina Wilson with Tracy Roberts as Team Lead.</w:t>
      </w:r>
    </w:p>
    <w:p w:rsidR="004A4349" w:rsidRDefault="00D34D0A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</w:t>
      </w:r>
      <w:r w:rsidR="000E5B06">
        <w:rPr>
          <w:rFonts w:ascii="Arial" w:hAnsi="Arial" w:cs="Arial"/>
          <w:b/>
        </w:rPr>
        <w:t>egree</w:t>
      </w:r>
      <w:r>
        <w:rPr>
          <w:rFonts w:ascii="Arial" w:hAnsi="Arial" w:cs="Arial"/>
          <w:b/>
        </w:rPr>
        <w:t>W</w:t>
      </w:r>
      <w:r w:rsidR="000E5B06">
        <w:rPr>
          <w:rFonts w:ascii="Arial" w:hAnsi="Arial" w:cs="Arial"/>
          <w:b/>
        </w:rPr>
        <w:t>orks</w:t>
      </w:r>
      <w:proofErr w:type="spellEnd"/>
      <w:r w:rsidR="000E5B06">
        <w:rPr>
          <w:rFonts w:ascii="Arial" w:hAnsi="Arial" w:cs="Arial"/>
        </w:rPr>
        <w:t xml:space="preserve"> – Happy with all; end of September Pony Show; Tracy meeting with colleges and will have to get through Academic Council; will set during focus call.</w:t>
      </w:r>
      <w:r w:rsidR="00D272C0" w:rsidRPr="008959DD">
        <w:rPr>
          <w:rFonts w:ascii="Arial" w:hAnsi="Arial" w:cs="Arial"/>
        </w:rPr>
        <w:t xml:space="preserve"> </w:t>
      </w:r>
    </w:p>
    <w:p w:rsidR="008959DD" w:rsidRDefault="000E5B06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HBS (JKD)</w:t>
      </w:r>
      <w:r>
        <w:rPr>
          <w:rFonts w:ascii="Arial" w:hAnsi="Arial" w:cs="Arial"/>
        </w:rPr>
        <w:t xml:space="preserve"> – When does license expire?</w:t>
      </w:r>
    </w:p>
    <w:p w:rsidR="000E5B06" w:rsidRDefault="000E5B06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EcoTime</w:t>
      </w:r>
      <w:proofErr w:type="spellEnd"/>
    </w:p>
    <w:p w:rsidR="000E5B06" w:rsidRDefault="000E5B06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Bookstore (BDT)</w:t>
      </w:r>
      <w:r>
        <w:rPr>
          <w:rFonts w:ascii="Arial" w:hAnsi="Arial" w:cs="Arial"/>
        </w:rPr>
        <w:t xml:space="preserve"> – Timber we are in contract negotiations; Anita says she heard it was </w:t>
      </w:r>
      <w:proofErr w:type="spellStart"/>
      <w:r>
        <w:rPr>
          <w:rFonts w:ascii="Arial" w:hAnsi="Arial" w:cs="Arial"/>
        </w:rPr>
        <w:t>ok’d</w:t>
      </w:r>
      <w:proofErr w:type="spellEnd"/>
      <w:r>
        <w:rPr>
          <w:rFonts w:ascii="Arial" w:hAnsi="Arial" w:cs="Arial"/>
        </w:rPr>
        <w:t xml:space="preserve"> </w:t>
      </w:r>
      <w:r w:rsidR="00AC04DC">
        <w:rPr>
          <w:rFonts w:ascii="Arial" w:hAnsi="Arial" w:cs="Arial"/>
        </w:rPr>
        <w:t>last week; on campus today (surprise!!) to set up server; Andrew Dowdy leading from our side.</w:t>
      </w:r>
    </w:p>
    <w:p w:rsidR="00AC04DC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Dining Truck</w:t>
      </w:r>
      <w:r>
        <w:rPr>
          <w:rFonts w:ascii="Arial" w:hAnsi="Arial" w:cs="Arial"/>
        </w:rPr>
        <w:t xml:space="preserve"> – Open issue re PCI compliance.</w:t>
      </w:r>
    </w:p>
    <w:p w:rsidR="00AC04DC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TouchNet</w:t>
      </w:r>
      <w:proofErr w:type="spellEnd"/>
      <w:r>
        <w:rPr>
          <w:rFonts w:ascii="Arial" w:hAnsi="Arial" w:cs="Arial"/>
          <w:b/>
        </w:rPr>
        <w:t xml:space="preserve"> Mobile (AP)</w:t>
      </w:r>
      <w:r>
        <w:rPr>
          <w:rFonts w:ascii="Arial" w:hAnsi="Arial" w:cs="Arial"/>
        </w:rPr>
        <w:t xml:space="preserve"> – McKenna rejected documentation; needs to get David </w:t>
      </w:r>
      <w:proofErr w:type="spellStart"/>
      <w:r>
        <w:rPr>
          <w:rFonts w:ascii="Arial" w:hAnsi="Arial" w:cs="Arial"/>
        </w:rPr>
        <w:t>Jeffress</w:t>
      </w:r>
      <w:proofErr w:type="spellEnd"/>
      <w:r>
        <w:rPr>
          <w:rFonts w:ascii="Arial" w:hAnsi="Arial" w:cs="Arial"/>
        </w:rPr>
        <w:t>; Julie TOB</w:t>
      </w:r>
      <w:proofErr w:type="gramStart"/>
      <w:r>
        <w:rPr>
          <w:rFonts w:ascii="Arial" w:hAnsi="Arial" w:cs="Arial"/>
        </w:rPr>
        <w:t>?;</w:t>
      </w:r>
      <w:proofErr w:type="gramEnd"/>
      <w:r>
        <w:rPr>
          <w:rFonts w:ascii="Arial" w:hAnsi="Arial" w:cs="Arial"/>
        </w:rPr>
        <w:t xml:space="preserve"> getting technical people lined out.</w:t>
      </w:r>
    </w:p>
    <w:p w:rsidR="008959DD" w:rsidRDefault="008959DD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Clean Address</w:t>
      </w:r>
      <w:r>
        <w:rPr>
          <w:rFonts w:ascii="Arial" w:hAnsi="Arial" w:cs="Arial"/>
        </w:rPr>
        <w:t xml:space="preserve"> </w:t>
      </w:r>
    </w:p>
    <w:p w:rsidR="00FB5654" w:rsidRDefault="00FB5654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MapWorks</w:t>
      </w:r>
      <w:proofErr w:type="spellEnd"/>
      <w:r>
        <w:rPr>
          <w:rFonts w:ascii="Arial" w:hAnsi="Arial" w:cs="Arial"/>
        </w:rPr>
        <w:t xml:space="preserve"> </w:t>
      </w:r>
      <w:r w:rsidR="00AC04DC" w:rsidRPr="00AC04DC">
        <w:rPr>
          <w:rFonts w:ascii="Arial" w:hAnsi="Arial" w:cs="Arial"/>
          <w:b/>
        </w:rPr>
        <w:t>(BDT)</w:t>
      </w:r>
      <w:r w:rsidR="00AC04DC">
        <w:rPr>
          <w:rFonts w:ascii="Arial" w:hAnsi="Arial" w:cs="Arial"/>
        </w:rPr>
        <w:t xml:space="preserve"> – Survey going out in two days.</w:t>
      </w:r>
    </w:p>
    <w:p w:rsidR="00FB5654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Monarch MES</w:t>
      </w:r>
      <w:r w:rsidR="008607A7">
        <w:rPr>
          <w:rFonts w:ascii="Arial" w:hAnsi="Arial" w:cs="Arial"/>
          <w:b/>
        </w:rPr>
        <w:t xml:space="preserve"> </w:t>
      </w:r>
      <w:r w:rsidR="008607A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Based on Org security ;using now to allow modular</w:t>
      </w:r>
    </w:p>
    <w:p w:rsidR="00AC04DC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Font Size in INB Status</w:t>
      </w:r>
      <w:r>
        <w:rPr>
          <w:rFonts w:ascii="Arial" w:hAnsi="Arial" w:cs="Arial"/>
        </w:rPr>
        <w:t xml:space="preserve"> – Verify in Test and let us know.</w:t>
      </w:r>
    </w:p>
    <w:p w:rsidR="00AC04DC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Changes in </w:t>
      </w:r>
      <w:proofErr w:type="spellStart"/>
      <w:r>
        <w:rPr>
          <w:rFonts w:ascii="Arial" w:hAnsi="Arial" w:cs="Arial"/>
          <w:b/>
        </w:rPr>
        <w:t>myGate</w:t>
      </w:r>
      <w:proofErr w:type="spellEnd"/>
      <w:r>
        <w:rPr>
          <w:rFonts w:ascii="Arial" w:hAnsi="Arial" w:cs="Arial"/>
        </w:rPr>
        <w:t xml:space="preserve"> – New FIN AID tab; new faculty tools.</w:t>
      </w:r>
    </w:p>
    <w:p w:rsidR="00AC04DC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Time Out in INB</w:t>
      </w:r>
      <w:r>
        <w:rPr>
          <w:rFonts w:ascii="Arial" w:hAnsi="Arial" w:cs="Arial"/>
        </w:rPr>
        <w:t xml:space="preserve"> – considering putting it in Test for 15 minutes; we need to start gathering information.  Can you give us idea of how long processes run in general? Per Lori, two to three hours or longer.  Tracy wants to have </w:t>
      </w:r>
      <w:proofErr w:type="spellStart"/>
      <w:r>
        <w:rPr>
          <w:rFonts w:ascii="Arial" w:hAnsi="Arial" w:cs="Arial"/>
        </w:rPr>
        <w:t>Appworx</w:t>
      </w:r>
      <w:proofErr w:type="spellEnd"/>
      <w:r>
        <w:rPr>
          <w:rFonts w:ascii="Arial" w:hAnsi="Arial" w:cs="Arial"/>
        </w:rPr>
        <w:t xml:space="preserve"> do some of the bigger ones.  Anita Poynor said it takes several hours.</w:t>
      </w:r>
    </w:p>
    <w:p w:rsidR="00AC04DC" w:rsidRDefault="00AC04DC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Board of Regents going with </w:t>
      </w:r>
      <w:proofErr w:type="spellStart"/>
      <w:r>
        <w:rPr>
          <w:rFonts w:ascii="Arial" w:hAnsi="Arial" w:cs="Arial"/>
          <w:b/>
        </w:rPr>
        <w:t>Boardbooks</w:t>
      </w:r>
      <w:proofErr w:type="spellEnd"/>
      <w:r w:rsidRPr="00AC04DC">
        <w:rPr>
          <w:rFonts w:ascii="Arial" w:hAnsi="Arial" w:cs="Arial"/>
        </w:rPr>
        <w:t>.</w:t>
      </w:r>
    </w:p>
    <w:sectPr w:rsidR="00AC04DC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A0" w:rsidRDefault="00796AA0" w:rsidP="004D1349">
      <w:pPr>
        <w:spacing w:after="0" w:line="240" w:lineRule="auto"/>
      </w:pPr>
      <w:r>
        <w:separator/>
      </w:r>
    </w:p>
  </w:endnote>
  <w:endnote w:type="continuationSeparator" w:id="0">
    <w:p w:rsidR="00796AA0" w:rsidRDefault="00796AA0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AC04DC" w:rsidRPr="00AC04D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A0" w:rsidRDefault="00796AA0" w:rsidP="004D1349">
      <w:pPr>
        <w:spacing w:after="0" w:line="240" w:lineRule="auto"/>
      </w:pPr>
      <w:r>
        <w:separator/>
      </w:r>
    </w:p>
  </w:footnote>
  <w:footnote w:type="continuationSeparator" w:id="0">
    <w:p w:rsidR="00796AA0" w:rsidRDefault="00796AA0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207F"/>
    <w:multiLevelType w:val="hybridMultilevel"/>
    <w:tmpl w:val="A99C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B6427"/>
    <w:rsid w:val="000C3761"/>
    <w:rsid w:val="000C3967"/>
    <w:rsid w:val="000C7E7A"/>
    <w:rsid w:val="000D7B60"/>
    <w:rsid w:val="000E5B06"/>
    <w:rsid w:val="00147EDB"/>
    <w:rsid w:val="00182C9B"/>
    <w:rsid w:val="0018638D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73AD"/>
    <w:rsid w:val="002E5342"/>
    <w:rsid w:val="002F53AB"/>
    <w:rsid w:val="0031755B"/>
    <w:rsid w:val="00342739"/>
    <w:rsid w:val="00351A29"/>
    <w:rsid w:val="00373581"/>
    <w:rsid w:val="0037686E"/>
    <w:rsid w:val="003961D6"/>
    <w:rsid w:val="003A52FE"/>
    <w:rsid w:val="003C4E0A"/>
    <w:rsid w:val="003C79F9"/>
    <w:rsid w:val="003F15E0"/>
    <w:rsid w:val="0043085D"/>
    <w:rsid w:val="00453174"/>
    <w:rsid w:val="004A4349"/>
    <w:rsid w:val="004B4866"/>
    <w:rsid w:val="004B753D"/>
    <w:rsid w:val="004C3CDA"/>
    <w:rsid w:val="004D1349"/>
    <w:rsid w:val="005138CB"/>
    <w:rsid w:val="00542742"/>
    <w:rsid w:val="00554A39"/>
    <w:rsid w:val="005931A9"/>
    <w:rsid w:val="005A02DB"/>
    <w:rsid w:val="005A6449"/>
    <w:rsid w:val="005B40C0"/>
    <w:rsid w:val="005D215D"/>
    <w:rsid w:val="005D4674"/>
    <w:rsid w:val="005F0A3B"/>
    <w:rsid w:val="006064A1"/>
    <w:rsid w:val="00683D2F"/>
    <w:rsid w:val="006864FC"/>
    <w:rsid w:val="00692F7A"/>
    <w:rsid w:val="00694EE3"/>
    <w:rsid w:val="006A25DF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96AA0"/>
    <w:rsid w:val="007A157E"/>
    <w:rsid w:val="007A3A54"/>
    <w:rsid w:val="007C695A"/>
    <w:rsid w:val="007C756C"/>
    <w:rsid w:val="007D267C"/>
    <w:rsid w:val="007E16B9"/>
    <w:rsid w:val="0083437F"/>
    <w:rsid w:val="008607A7"/>
    <w:rsid w:val="008944A0"/>
    <w:rsid w:val="008959DD"/>
    <w:rsid w:val="008A0E6C"/>
    <w:rsid w:val="008A3A1C"/>
    <w:rsid w:val="008B1E5B"/>
    <w:rsid w:val="008F1034"/>
    <w:rsid w:val="00945FB0"/>
    <w:rsid w:val="0095340E"/>
    <w:rsid w:val="009557AA"/>
    <w:rsid w:val="0099158D"/>
    <w:rsid w:val="009E4710"/>
    <w:rsid w:val="00A34C91"/>
    <w:rsid w:val="00A55AA9"/>
    <w:rsid w:val="00A9103D"/>
    <w:rsid w:val="00AB20AE"/>
    <w:rsid w:val="00AC04DC"/>
    <w:rsid w:val="00AC21E5"/>
    <w:rsid w:val="00AC2295"/>
    <w:rsid w:val="00AC4398"/>
    <w:rsid w:val="00AE3D80"/>
    <w:rsid w:val="00B2197D"/>
    <w:rsid w:val="00B272DE"/>
    <w:rsid w:val="00B403DE"/>
    <w:rsid w:val="00B419C3"/>
    <w:rsid w:val="00B51447"/>
    <w:rsid w:val="00B62FBC"/>
    <w:rsid w:val="00B73728"/>
    <w:rsid w:val="00BA1FA8"/>
    <w:rsid w:val="00BA2BCE"/>
    <w:rsid w:val="00BB0874"/>
    <w:rsid w:val="00BB1037"/>
    <w:rsid w:val="00BC1E8A"/>
    <w:rsid w:val="00BF2777"/>
    <w:rsid w:val="00BF5DEE"/>
    <w:rsid w:val="00C32241"/>
    <w:rsid w:val="00C34230"/>
    <w:rsid w:val="00C34B27"/>
    <w:rsid w:val="00C4519B"/>
    <w:rsid w:val="00C77DFA"/>
    <w:rsid w:val="00C80CC2"/>
    <w:rsid w:val="00C8554B"/>
    <w:rsid w:val="00CA2885"/>
    <w:rsid w:val="00CC3ACA"/>
    <w:rsid w:val="00CD02BC"/>
    <w:rsid w:val="00CE1C4D"/>
    <w:rsid w:val="00CE3426"/>
    <w:rsid w:val="00CF36E5"/>
    <w:rsid w:val="00D272C0"/>
    <w:rsid w:val="00D34D0A"/>
    <w:rsid w:val="00D81555"/>
    <w:rsid w:val="00D8234E"/>
    <w:rsid w:val="00D960CF"/>
    <w:rsid w:val="00DC3490"/>
    <w:rsid w:val="00DC3D50"/>
    <w:rsid w:val="00DC63E5"/>
    <w:rsid w:val="00DD2B90"/>
    <w:rsid w:val="00DE0A48"/>
    <w:rsid w:val="00E21409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B5654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2</cp:revision>
  <cp:lastPrinted>2013-04-02T21:44:00Z</cp:lastPrinted>
  <dcterms:created xsi:type="dcterms:W3CDTF">2013-04-02T22:11:00Z</dcterms:created>
  <dcterms:modified xsi:type="dcterms:W3CDTF">2013-04-02T22:11:00Z</dcterms:modified>
</cp:coreProperties>
</file>